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38C" w:rsidRPr="0004738C" w:rsidRDefault="0004738C" w:rsidP="0004738C">
      <w:pPr>
        <w:shd w:val="clear" w:color="auto" w:fill="FFFFFF"/>
        <w:spacing w:after="150" w:line="825" w:lineRule="atLeast"/>
        <w:jc w:val="center"/>
        <w:outlineLvl w:val="0"/>
        <w:rPr>
          <w:rFonts w:ascii="Arial" w:eastAsia="Times New Roman" w:hAnsi="Arial" w:cs="Arial"/>
          <w:b/>
          <w:bCs/>
          <w:color w:val="292929"/>
          <w:kern w:val="36"/>
          <w:sz w:val="60"/>
          <w:szCs w:val="60"/>
          <w:lang w:eastAsia="ru-RU"/>
        </w:rPr>
      </w:pPr>
      <w:r w:rsidRPr="0004738C">
        <w:rPr>
          <w:rFonts w:ascii="Arial" w:eastAsia="Times New Roman" w:hAnsi="Arial" w:cs="Arial"/>
          <w:b/>
          <w:bCs/>
          <w:color w:val="292929"/>
          <w:kern w:val="36"/>
          <w:sz w:val="60"/>
          <w:szCs w:val="60"/>
          <w:lang w:eastAsia="ru-RU"/>
        </w:rPr>
        <w:t>Разъяснение № 03/19 Комиссии по этике и стандартам по вопросу допустимости обращения адвокатов в правоохранительные органы</w:t>
      </w:r>
    </w:p>
    <w:p w:rsidR="0004738C" w:rsidRPr="0004738C" w:rsidRDefault="0004738C" w:rsidP="0004738C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04738C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24 апреля 2019 г.</w:t>
      </w:r>
    </w:p>
    <w:p w:rsidR="0004738C" w:rsidRPr="0004738C" w:rsidRDefault="0004738C" w:rsidP="000473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27"/>
          <w:szCs w:val="27"/>
          <w:lang w:eastAsia="ru-RU"/>
        </w:rPr>
      </w:pPr>
      <w:r w:rsidRPr="0004738C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</w:p>
    <w:p w:rsidR="0004738C" w:rsidRPr="0004738C" w:rsidRDefault="0004738C" w:rsidP="0004738C">
      <w:pPr>
        <w:shd w:val="clear" w:color="auto" w:fill="FFFFFF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999999"/>
          <w:sz w:val="15"/>
          <w:szCs w:val="15"/>
          <w:lang w:eastAsia="ru-RU"/>
        </w:rPr>
      </w:pPr>
      <w:r w:rsidRPr="0004738C">
        <w:rPr>
          <w:rFonts w:ascii="Arial" w:eastAsia="Times New Roman" w:hAnsi="Arial" w:cs="Arial"/>
          <w:color w:val="999999"/>
          <w:sz w:val="15"/>
          <w:szCs w:val="15"/>
          <w:lang w:eastAsia="ru-RU"/>
        </w:rPr>
        <w:t>№ 03/19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jc w:val="righ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color w:val="292929"/>
          <w:lang w:eastAsia="ru-RU"/>
        </w:rPr>
        <w:t>Утверждено решением </w:t>
      </w:r>
      <w:r w:rsidRPr="0004738C">
        <w:rPr>
          <w:rFonts w:ascii="Times New Roman" w:eastAsia="Times New Roman" w:hAnsi="Times New Roman" w:cs="Times New Roman"/>
          <w:color w:val="292929"/>
          <w:lang w:eastAsia="ru-RU"/>
        </w:rPr>
        <w:br/>
        <w:t>Совета Федеральной палаты адвокатов </w:t>
      </w:r>
      <w:r w:rsidRPr="0004738C">
        <w:rPr>
          <w:rFonts w:ascii="Times New Roman" w:eastAsia="Times New Roman" w:hAnsi="Times New Roman" w:cs="Times New Roman"/>
          <w:color w:val="292929"/>
          <w:lang w:eastAsia="ru-RU"/>
        </w:rPr>
        <w:br/>
        <w:t>РФ 17 апреля 2019 г. (протокол № 7)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jc w:val="center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РАЗЪЯСНЕНИЕ № 03/19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jc w:val="center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Комиссии по этике и стандартам по вопросу допустимости обращения адвокатов в правоохранительные органы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В порядке пункта 5 статьи 18.2 Кодекса профессиональной этики адвоката в ответ на запросы Адвокатской палаты Воронежской области, Адвокатской палаты Московской области, Адвокатской палаты Республики Башкортостан Комиссия Федеральной палаты адвокатов РФ по этике и стандартам дает следующее разъяснение по вопросу допустимости обращения адвокатов в правоохранительные органы с требованием проведения проверки в отношении органов адвокатского самоуправления.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Не вызывает сомнений, что обращение адвокатов в органы государственной власти, а тем более в правоохранительные органы с заявлением о проведении проверки в отношении органов адвокатского самоуправления заслуживает безусловного осуждения со стороны адвокатского сообщества. Российская адвокатура неуклонно привержена традициям и ценностям профессии, среди которых основополагающими являются ее гуманистический, </w:t>
      </w:r>
      <w:proofErr w:type="spellStart"/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правозаступнический</w:t>
      </w:r>
      <w:proofErr w:type="spellEnd"/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характер, следование принципу корпоративности, а также </w:t>
      </w:r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lastRenderedPageBreak/>
        <w:t>забота адвокатов об авторитете адвокатуры. Доверительные и уважительные отношения между адвокатами являются одним из необходимых условий существования и деятельности адвокатского сообщества.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Принципиально важным является следование этим традициям и ценностям в любой публичной активности членов адвокатской корпорации и, прежде всего, при взаимодействии с правоохранительными органами. Требование или призыв ко вмешательству в деятельность органов адвокатского самоуправления либо осуществлению в отношении них проверочных и контрольных мероприятий органами государственной власти, в том числе осуществляющими уголовное преследование, ведет к подрыву принципов независимости и корпоративности и недопустимо для членов адвокатского сообщества.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Такого рода обращения адвокатов в органы государственной власти либо в правоохранительные органы демонстрируют полное пренебрежение моральными традициями адвокатуры и требованиями профессиональной этики. Все указанное усугубляется в том случае, когда авторы подобных обращений не являются членами той адвокатской палаты, положение дел в которой должно явиться, по их мнению, предметом проверки. Подобное вмешательство адвокатов в деятельность иной адвокатской палаты, особенно с привлечением следственных органов, насаждает чуждую адвокатуре атмосферу подозрительности и доносительства.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Такое поведение адвоката прямо противоречит пункту 2 статьи 5 Кодекса профессиональной этики адвоката, согласно которому адвокат должен избегать действий (бездействия), направленных к подрыву доверия к нему или к адвокатуре. Кроме того, пункт 5 статьи 9 Кодекса профессиональной этики адвоката содержит принципиальное указание о том, что в любой ситуации, в том числе вне профессиональной деятельности, адвокат обязан сохранять честь и достоинство, избегать всего, что могло бы нанести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поведения. Как указано в Разъяснении Комиссии Федеральной палаты адвокатов по этике и стандартам № 02/18 по вопросам применения п. 2 ст. 5 и п. 5 ст. 9 Кодекса профессиональной этики адвоката поведение адвоката вне профессиональной деятельности, которое наносит ущерб авторитету адвокатуры или подрывает доверие к ней, может квалифицироваться органами адвокатского самоуправления в качестве нарушения правил профессиональной этики при условии, что принадлежность такого лица к адвокатскому сообществу очевидна или это следует из его поведения.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lastRenderedPageBreak/>
        <w:t>Указанные нарушения законодательства об адвокатуре и адвокатской деятельности и норм профессиональной этики адвоката должны становиться поводом для дисциплинарного реагирования уполномоченных органов адвокатского самоуправления и возможного привлечения адвокатов к дисциплинарной ответственности.</w:t>
      </w:r>
    </w:p>
    <w:p w:rsidR="0004738C" w:rsidRPr="0004738C" w:rsidRDefault="0004738C" w:rsidP="0004738C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:rsidR="0004738C" w:rsidRPr="0004738C" w:rsidRDefault="0004738C" w:rsidP="0004738C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04738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«Адвокатская газета».</w:t>
      </w:r>
    </w:p>
    <w:p w:rsidR="00A50E39" w:rsidRDefault="00A50E39">
      <w:bookmarkStart w:id="0" w:name="_GoBack"/>
      <w:bookmarkEnd w:id="0"/>
    </w:p>
    <w:sectPr w:rsidR="00A5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8C"/>
    <w:rsid w:val="0004738C"/>
    <w:rsid w:val="00A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66788-13D4-4CB5-BD93-EAD91558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1773844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8193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114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18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Оберман Ирина Александровна</dc:creator>
  <cp:keywords/>
  <dc:description/>
  <cp:lastModifiedBy>Оберман Ирина Александровна</cp:lastModifiedBy>
  <cp:revision>1</cp:revision>
  <dcterms:created xsi:type="dcterms:W3CDTF">2019-04-26T05:27:00Z</dcterms:created>
  <dcterms:modified xsi:type="dcterms:W3CDTF">2019-04-26T05:30:00Z</dcterms:modified>
</cp:coreProperties>
</file>