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C97" w:rsidRPr="00670C97" w:rsidRDefault="00670C97" w:rsidP="00670C97">
      <w:pPr>
        <w:spacing w:before="100" w:beforeAutospacing="1" w:after="100" w:afterAutospacing="1" w:line="240" w:lineRule="auto"/>
        <w:outlineLvl w:val="0"/>
        <w:rPr>
          <w:rFonts w:ascii="Arial" w:eastAsia="Times New Roman" w:hAnsi="Arial" w:cs="Arial"/>
          <w:color w:val="9F372B"/>
          <w:kern w:val="36"/>
          <w:sz w:val="48"/>
          <w:szCs w:val="48"/>
          <w:lang w:eastAsia="ru-RU"/>
        </w:rPr>
      </w:pPr>
      <w:r w:rsidRPr="00670C97">
        <w:rPr>
          <w:rFonts w:ascii="Arial" w:eastAsia="Times New Roman" w:hAnsi="Arial" w:cs="Arial"/>
          <w:color w:val="9F372B"/>
          <w:kern w:val="36"/>
          <w:sz w:val="48"/>
          <w:szCs w:val="48"/>
          <w:lang w:eastAsia="ru-RU"/>
        </w:rPr>
        <w:t>Рекомендации</w:t>
      </w:r>
    </w:p>
    <w:p w:rsidR="00670C97" w:rsidRPr="00670C97" w:rsidRDefault="00670C97" w:rsidP="00670C97">
      <w:pPr>
        <w:spacing w:before="240" w:after="240" w:line="240" w:lineRule="auto"/>
        <w:rPr>
          <w:rFonts w:ascii="Arial" w:eastAsia="Times New Roman" w:hAnsi="Arial" w:cs="Arial"/>
          <w:color w:val="606060"/>
          <w:sz w:val="27"/>
          <w:szCs w:val="27"/>
          <w:lang w:eastAsia="ru-RU"/>
        </w:rPr>
      </w:pPr>
      <w:r w:rsidRPr="00670C97">
        <w:rPr>
          <w:rFonts w:ascii="Arial" w:eastAsia="Times New Roman" w:hAnsi="Arial" w:cs="Arial"/>
          <w:color w:val="606060"/>
          <w:sz w:val="27"/>
          <w:szCs w:val="27"/>
          <w:lang w:eastAsia="ru-RU"/>
        </w:rPr>
        <w:t>по исполнению адвокатами требований законодательства о противодействии легализации (отмыванию) доходов, полученных преступным путем, и финансированию терроризма</w:t>
      </w:r>
    </w:p>
    <w:p w:rsidR="00670C97" w:rsidRPr="00670C97" w:rsidRDefault="00670C97" w:rsidP="00670C97">
      <w:pPr>
        <w:pBdr>
          <w:bottom w:val="single" w:sz="6" w:space="1" w:color="auto"/>
        </w:pBdr>
        <w:spacing w:after="0" w:line="240" w:lineRule="auto"/>
        <w:jc w:val="center"/>
        <w:rPr>
          <w:rFonts w:ascii="Arial" w:eastAsia="Times New Roman" w:hAnsi="Arial" w:cs="Arial"/>
          <w:vanish/>
          <w:sz w:val="16"/>
          <w:szCs w:val="16"/>
          <w:lang w:eastAsia="ru-RU"/>
        </w:rPr>
      </w:pPr>
      <w:r w:rsidRPr="00670C97">
        <w:rPr>
          <w:rFonts w:ascii="Arial" w:eastAsia="Times New Roman" w:hAnsi="Arial" w:cs="Arial"/>
          <w:vanish/>
          <w:sz w:val="16"/>
          <w:szCs w:val="16"/>
          <w:lang w:eastAsia="ru-RU"/>
        </w:rPr>
        <w:t>Начало формы</w:t>
      </w:r>
    </w:p>
    <w:p w:rsidR="00670C97" w:rsidRPr="00670C97" w:rsidRDefault="00670C97" w:rsidP="00670C97">
      <w:pPr>
        <w:spacing w:after="0" w:line="300" w:lineRule="atLeast"/>
        <w:rPr>
          <w:rFonts w:ascii="Arial" w:eastAsia="Times New Roman" w:hAnsi="Arial" w:cs="Arial"/>
          <w:b/>
          <w:bCs/>
          <w:color w:val="000000"/>
          <w:sz w:val="20"/>
          <w:szCs w:val="20"/>
          <w:lang w:eastAsia="ru-RU"/>
        </w:rPr>
      </w:pPr>
      <w:r w:rsidRPr="00670C97">
        <w:rPr>
          <w:rFonts w:ascii="Arial" w:eastAsia="Times New Roman" w:hAnsi="Arial" w:cs="Arial"/>
          <w:b/>
          <w:bCs/>
          <w:color w:val="000000"/>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22.5pt" o:ole="">
            <v:imagedata r:id="rId4" o:title=""/>
          </v:shape>
          <w:control r:id="rId5" w:name="DefaultOcxName" w:shapeid="_x0000_i1031"/>
        </w:object>
      </w:r>
    </w:p>
    <w:p w:rsidR="00670C97" w:rsidRPr="00670C97" w:rsidRDefault="00670C97" w:rsidP="00670C97">
      <w:pPr>
        <w:pBdr>
          <w:top w:val="single" w:sz="6" w:space="1" w:color="auto"/>
        </w:pBdr>
        <w:spacing w:after="0" w:line="240" w:lineRule="auto"/>
        <w:jc w:val="center"/>
        <w:rPr>
          <w:rFonts w:ascii="Arial" w:eastAsia="Times New Roman" w:hAnsi="Arial" w:cs="Arial"/>
          <w:vanish/>
          <w:sz w:val="16"/>
          <w:szCs w:val="16"/>
          <w:lang w:eastAsia="ru-RU"/>
        </w:rPr>
      </w:pPr>
      <w:r w:rsidRPr="00670C97">
        <w:rPr>
          <w:rFonts w:ascii="Arial" w:eastAsia="Times New Roman" w:hAnsi="Arial" w:cs="Arial"/>
          <w:vanish/>
          <w:sz w:val="16"/>
          <w:szCs w:val="16"/>
          <w:lang w:eastAsia="ru-RU"/>
        </w:rPr>
        <w:t>Конец формы</w:t>
      </w:r>
    </w:p>
    <w:p w:rsidR="00670C97" w:rsidRPr="00670C97" w:rsidRDefault="00670C97" w:rsidP="00670C97">
      <w:pPr>
        <w:spacing w:after="0" w:line="300" w:lineRule="atLeast"/>
        <w:rPr>
          <w:rFonts w:ascii="Arial" w:eastAsia="Times New Roman" w:hAnsi="Arial" w:cs="Arial"/>
          <w:b/>
          <w:bCs/>
          <w:color w:val="000000"/>
          <w:sz w:val="20"/>
          <w:szCs w:val="20"/>
          <w:lang w:eastAsia="ru-RU"/>
        </w:rPr>
      </w:pPr>
    </w:p>
    <w:p w:rsidR="00670C97" w:rsidRPr="00670C97" w:rsidRDefault="00670C97" w:rsidP="00670C97">
      <w:pPr>
        <w:spacing w:after="0" w:line="300" w:lineRule="atLeast"/>
        <w:rPr>
          <w:rFonts w:ascii="Arial" w:eastAsia="Times New Roman" w:hAnsi="Arial" w:cs="Arial"/>
          <w:b/>
          <w:bCs/>
          <w:color w:val="000000"/>
          <w:sz w:val="20"/>
          <w:szCs w:val="20"/>
          <w:lang w:eastAsia="ru-RU"/>
        </w:rPr>
      </w:pPr>
      <w:r w:rsidRPr="00670C97">
        <w:rPr>
          <w:rFonts w:ascii="Arial" w:eastAsia="Times New Roman" w:hAnsi="Arial" w:cs="Arial"/>
          <w:b/>
          <w:bCs/>
          <w:color w:val="000000"/>
          <w:sz w:val="20"/>
          <w:szCs w:val="20"/>
          <w:lang w:eastAsia="ru-RU"/>
        </w:rPr>
        <w:t>0</w:t>
      </w:r>
      <w:bookmarkStart w:id="0" w:name="_GoBack"/>
      <w:bookmarkEnd w:id="0"/>
      <w:r w:rsidRPr="00670C97">
        <w:rPr>
          <w:rFonts w:ascii="Arial" w:eastAsia="Times New Roman" w:hAnsi="Arial" w:cs="Arial"/>
          <w:b/>
          <w:bCs/>
          <w:color w:val="000000"/>
          <w:sz w:val="20"/>
          <w:szCs w:val="20"/>
          <w:lang w:eastAsia="ru-RU"/>
        </w:rPr>
        <w:t>4.12.2017</w:t>
      </w:r>
    </w:p>
    <w:p w:rsidR="00670C97" w:rsidRPr="00670C97" w:rsidRDefault="00670C97" w:rsidP="00670C97">
      <w:pPr>
        <w:spacing w:before="100" w:beforeAutospacing="1" w:after="100" w:afterAutospacing="1" w:line="240" w:lineRule="auto"/>
        <w:jc w:val="right"/>
        <w:rPr>
          <w:rFonts w:ascii="Arial" w:eastAsia="Times New Roman" w:hAnsi="Arial" w:cs="Arial"/>
          <w:color w:val="000000"/>
          <w:sz w:val="27"/>
          <w:szCs w:val="27"/>
          <w:lang w:eastAsia="ru-RU"/>
        </w:rPr>
      </w:pPr>
      <w:r w:rsidRPr="00670C97">
        <w:rPr>
          <w:rFonts w:ascii="Arial" w:eastAsia="Times New Roman" w:hAnsi="Arial" w:cs="Arial"/>
          <w:b/>
          <w:bCs/>
          <w:color w:val="000000"/>
          <w:sz w:val="18"/>
          <w:szCs w:val="18"/>
          <w:lang w:eastAsia="ru-RU"/>
        </w:rPr>
        <w:t>Утверждены</w:t>
      </w:r>
      <w:r w:rsidRPr="00670C97">
        <w:rPr>
          <w:rFonts w:ascii="Arial" w:eastAsia="Times New Roman" w:hAnsi="Arial" w:cs="Arial"/>
          <w:color w:val="000000"/>
          <w:sz w:val="27"/>
          <w:szCs w:val="27"/>
          <w:lang w:eastAsia="ru-RU"/>
        </w:rPr>
        <w:br/>
      </w:r>
      <w:r w:rsidRPr="00670C97">
        <w:rPr>
          <w:rFonts w:ascii="Arial" w:eastAsia="Times New Roman" w:hAnsi="Arial" w:cs="Arial"/>
          <w:b/>
          <w:bCs/>
          <w:color w:val="000000"/>
          <w:sz w:val="18"/>
          <w:szCs w:val="18"/>
          <w:lang w:eastAsia="ru-RU"/>
        </w:rPr>
        <w:t>Решением Совета ФПА РФ</w:t>
      </w:r>
      <w:r w:rsidRPr="00670C97">
        <w:rPr>
          <w:rFonts w:ascii="Arial" w:eastAsia="Times New Roman" w:hAnsi="Arial" w:cs="Arial"/>
          <w:color w:val="000000"/>
          <w:sz w:val="27"/>
          <w:szCs w:val="27"/>
          <w:lang w:eastAsia="ru-RU"/>
        </w:rPr>
        <w:br/>
      </w:r>
      <w:r w:rsidRPr="00670C97">
        <w:rPr>
          <w:rFonts w:ascii="Arial" w:eastAsia="Times New Roman" w:hAnsi="Arial" w:cs="Arial"/>
          <w:b/>
          <w:bCs/>
          <w:color w:val="000000"/>
          <w:sz w:val="18"/>
          <w:szCs w:val="18"/>
          <w:lang w:eastAsia="ru-RU"/>
        </w:rPr>
        <w:t>от 4 декабря 2017 г.</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1. Настоящие рекомендации разработаны в целях повышения эффективности работы адвокатов при исполнении требований законодательства о противодействии легализации (отмыванию) доходов, полученных преступным путем, и финансированию терроризма (далее – Рекомендации).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 Правовую основу Рекомендаций составляют:</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2.1. Конституция Российской Федерации и международные договоры Российской Федерации;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2.2. Федеральный закон от 7 августа 2001 г. № 115-ФЗ «О противодействии легализации (отмыванию) доходов, полученных преступным путем, и финансированию терроризма» (далее – Федеральный закон № 115-ФЗ);</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2.3. Федеральный закон от 31 мая 2002 г. № 63-ФЗ «Об адвокатской деятельности и адвокатуре в Российской Федерации» (далее – Федеральный закон № 63-ФЗ);</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2.4. Постановление Правительства Российской Федерации от 16 февраля 2005 г. № 82 «Об утверждении Положения о порядке передачи информации в Федеральную службу по финансовому мониторингу адвокатами, нотариусами и лицами, осуществляющими предпринимательскую деятельность в сфере оказания юридических или бухгалтерских услуг» (далее – Постановление № 82);</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2.5. Постановление Правительства Российской Федерации от 30 июня 2012 г. №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 (далее – Постановление № 667);</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2.6. Постановление Правительства Российской Федерации от 29 мая 2014 г. №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(далее – Постановление № 492);</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lastRenderedPageBreak/>
        <w:t>2.7. Постановление Правительства Российской Федерации от 6 августа 2015 г.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и индивидуальных предпринимателей» (далее – Постановление № 804);</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2.8. Приказ Росфинмониторинга от 8 мая 2009 г. № 103 «Об утверждении Рекомендаций по разработке критериев выявления и определению признаков необычных сделок» (далее – Приказ № 103);</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2.9. Приказ Росфинмониторинга от 3 августа 2010 г. № 203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(далее – Приказ № 203);</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2.10. Приказ Росфинмониторинга от 22 апреля 2015 г. № 110 «Об утверждении Инструкции о представлении в Федеральную службу по финансовому мониторингу информации, предусмотренной Федеральным законом от 7 августа 2001 г. № 115-ФЗ “О противодействии легализации (отмыванию) доходов, полученных преступным путем, и финансированию терроризма”» (далее – Приказ № 110);</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2.11. Кодекс профессиональной этики адвоката принят Первым Всероссийским съездом адвокатов 31 января 2003 г.</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2.12. Иные федеральные законы и нормативные правовые акты по вопросам ПОД/ФТ.</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3. Настоящие Рекомендации могут дополняться и изменяться по мере развития законодательной базы и анализа имеющейся практики исполнения требований законодательства в области противодействия легализации (отмыванию) доходов, полученных преступным путем, и финансированию терроризма.</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4. Адвокаты, которые готовят или осуществляют от имени или по поручению своего доверителя следующие операции с денежными средствами или иным имуществом: сделки с недвижимым имуществом, управление денежными средствами, ценными бумагами или иным имуществом доверителя,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 обязаны принимать меры, направленные на противодействия легализации (отмыванию) доходов, полученных преступным путем, и финансированию терроризма с учетом положений статьи 7.1 Федерального закона № 115-ФЗ.</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5. В соответствии с требованиями статьи 7.1 Федерального закона № 115-ФЗ адвокаты обязаны:</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5.1. Разработать правила внутреннего контроля.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lastRenderedPageBreak/>
        <w:t>Правила внутреннего контроля разрабатываются адвокатами с учетом Постановления № 667.</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5.2. Назначать специальных должностных лиц, ответственных за реализацию правил внутреннего контроля.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Квалификационные требования к специальным должностным лицам, ответственным за реализацию правил внутреннего контроля, в том числе для адвокатов, установленным Постановлением № 492.</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Согласно пунктам 2 и 4 Постановления № 492 адвокаты, возлагающие на себя функции специального должностного лица, обязаны пройти обучение в целях противодействия легализации (отмыванию) доходов, полученных преступным путем, и финансированию терроризма в соответствии с требованиями, установленными Федеральной службой по финансовому мониторингу.</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Адвокаты проходят вышеуказанное обучение с учетом Приказа № 203.</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 соответствии с требованиями пункта 2 статьи 7 Федерального закона № 115-ФЗ 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5.3. Идентифицировать доверителя (лицо, находящееся у него на обслуживании), установив следующие сведения: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6" w:history="1">
        <w:r w:rsidRPr="00670C97">
          <w:rPr>
            <w:rFonts w:ascii="Arial" w:eastAsia="Times New Roman" w:hAnsi="Arial" w:cs="Arial"/>
            <w:color w:val="9F372B"/>
            <w:sz w:val="24"/>
            <w:szCs w:val="24"/>
            <w:u w:val="single"/>
            <w:lang w:eastAsia="ru-RU"/>
          </w:rPr>
          <w:t>документа</w:t>
        </w:r>
      </w:hyperlink>
      <w:r w:rsidRPr="00670C97">
        <w:rPr>
          <w:rFonts w:ascii="Arial" w:eastAsia="Times New Roman" w:hAnsi="Arial" w:cs="Arial"/>
          <w:color w:val="606060"/>
          <w:sz w:val="24"/>
          <w:szCs w:val="24"/>
          <w:lang w:eastAsia="ru-RU"/>
        </w:rPr>
        <w:t>, удостоверяющего личность, данные </w:t>
      </w:r>
      <w:hyperlink r:id="rId7" w:history="1">
        <w:r w:rsidRPr="00670C97">
          <w:rPr>
            <w:rFonts w:ascii="Arial" w:eastAsia="Times New Roman" w:hAnsi="Arial" w:cs="Arial"/>
            <w:color w:val="9F372B"/>
            <w:sz w:val="24"/>
            <w:szCs w:val="24"/>
            <w:u w:val="single"/>
            <w:lang w:eastAsia="ru-RU"/>
          </w:rPr>
          <w:t>миграционной карты</w:t>
        </w:r>
      </w:hyperlink>
      <w:r w:rsidRPr="00670C97">
        <w:rPr>
          <w:rFonts w:ascii="Arial" w:eastAsia="Times New Roman" w:hAnsi="Arial" w:cs="Arial"/>
          <w:color w:val="606060"/>
          <w:sz w:val="24"/>
          <w:szCs w:val="24"/>
          <w:lang w:eastAsia="ru-RU"/>
        </w:rPr>
        <w:t>, </w:t>
      </w:r>
      <w:hyperlink r:id="rId8" w:history="1">
        <w:r w:rsidRPr="00670C97">
          <w:rPr>
            <w:rFonts w:ascii="Arial" w:eastAsia="Times New Roman" w:hAnsi="Arial" w:cs="Arial"/>
            <w:color w:val="9F372B"/>
            <w:sz w:val="24"/>
            <w:szCs w:val="24"/>
            <w:u w:val="single"/>
            <w:lang w:eastAsia="ru-RU"/>
          </w:rPr>
          <w:t>документа</w:t>
        </w:r>
      </w:hyperlink>
      <w:r w:rsidRPr="00670C97">
        <w:rPr>
          <w:rFonts w:ascii="Arial" w:eastAsia="Times New Roman" w:hAnsi="Arial" w:cs="Arial"/>
          <w:color w:val="606060"/>
          <w:sz w:val="24"/>
          <w:szCs w:val="24"/>
          <w:lang w:eastAsia="ru-RU"/>
        </w:rPr>
        <w:t>,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xml:space="preserve">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w:t>
      </w:r>
      <w:r w:rsidRPr="00670C97">
        <w:rPr>
          <w:rFonts w:ascii="Arial" w:eastAsia="Times New Roman" w:hAnsi="Arial" w:cs="Arial"/>
          <w:color w:val="606060"/>
          <w:sz w:val="24"/>
          <w:szCs w:val="24"/>
          <w:lang w:eastAsia="ru-RU"/>
        </w:rPr>
        <w:lastRenderedPageBreak/>
        <w:t>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5.4. В соответствии с правилами внутреннего контроля документально фиксировать информацию, полученную в результате их реализации и сохранять ее конфиденциальный характер.</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Основаниями документального фиксирования информации являются: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запутанный или необычный характер сделки, не имеющей очевидного экономического смысла или очевидной законной цели;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несоответствие сделки целям деятельности организации, установленным учредительными документами этой организации;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5.5. При наличии у адвоката любых оснований полагать, что сделки или финансовые операции, указанные в пункте 1 статьи 7.1 Федерального закона № 115-ФЗ, осуществляются или могут быть осуществлены в целях легализации (отмывания) доходов, полученных преступным путем, или финансирования терроризма (далее – подозрительные операции), он обязан уведомить об этом Федеральную службу по финансовому мониторингу в течение трех рабочих дней, следующих за днем выявления соответствующей операции (сделки).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Порядок представления адвокатами информации о подозрительных операциях в Росфинмониторинг установлен Постановлением № 82 и Приказом № 110.</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Адвокаты представляют в Росфинмониторинг вышеуказанную информацию в виде формализованных электронных сообщений (далее – ФЭС).</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Подготовка ФЭС осуществляется с помощью интерактивных форм, размещенных в Личном кабинете на официальном сайте Росфинмониторинга в информационно-телекоммуникационной сети «Интернет» (далее – Личный кабинет) по адресу: </w:t>
      </w:r>
      <w:hyperlink r:id="rId9" w:history="1">
        <w:r w:rsidRPr="00670C97">
          <w:rPr>
            <w:rFonts w:ascii="Arial" w:eastAsia="Times New Roman" w:hAnsi="Arial" w:cs="Arial"/>
            <w:color w:val="9F372B"/>
            <w:sz w:val="24"/>
            <w:szCs w:val="24"/>
            <w:u w:val="single"/>
            <w:lang w:eastAsia="ru-RU"/>
          </w:rPr>
          <w:t>www.fedsfm.ru</w:t>
        </w:r>
      </w:hyperlink>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Подготовка ФЭС также может осуществляться с помощью автоматизированного комплекса программных средств по вводу, обработке и передаче информации, предоставляемого Росфинмониторингом (далее – АРМ), а также с помощью иного программного обеспечения, разработанного с учетом структур, приведенных в приложениях к Приказу № 110.</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ФЭС подписывается усиленной квалифицированной электронной подписью (далее – ЭП) адвоката.</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lastRenderedPageBreak/>
        <w:t>ФЭС может также передаваться посредством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w:t>
      </w:r>
      <w:hyperlink r:id="rId10" w:history="1">
        <w:r w:rsidRPr="00670C97">
          <w:rPr>
            <w:rFonts w:ascii="Arial" w:eastAsia="Times New Roman" w:hAnsi="Arial" w:cs="Arial"/>
            <w:color w:val="9F372B"/>
            <w:sz w:val="24"/>
            <w:szCs w:val="24"/>
            <w:u w:val="single"/>
            <w:lang w:eastAsia="ru-RU"/>
          </w:rPr>
          <w:t>Постановлением</w:t>
        </w:r>
      </w:hyperlink>
      <w:r w:rsidRPr="00670C97">
        <w:rPr>
          <w:rFonts w:ascii="Arial" w:eastAsia="Times New Roman" w:hAnsi="Arial" w:cs="Arial"/>
          <w:color w:val="606060"/>
          <w:sz w:val="24"/>
          <w:szCs w:val="24"/>
          <w:lang w:eastAsia="ru-RU"/>
        </w:rPr>
        <w:t> Правительства Российской Федерации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Представление ФЭС осуществляется адвокатами с использованием Личного кабинета либо АРМ.</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xml:space="preserve">В случае невозможности представления ФЭС в Росфинмониторинг через Личный кабинет или АРМ, до устранения причин, препятствующих представлению, ФЭС формируются с помощью Личного кабинета, АРМ либо иного программного обеспечения и представляются в Росфинмониторинг на машинном носителе в виде электронного документа в формате </w:t>
      </w:r>
      <w:proofErr w:type="spellStart"/>
      <w:r w:rsidRPr="00670C97">
        <w:rPr>
          <w:rFonts w:ascii="Arial" w:eastAsia="Times New Roman" w:hAnsi="Arial" w:cs="Arial"/>
          <w:color w:val="606060"/>
          <w:sz w:val="24"/>
          <w:szCs w:val="24"/>
          <w:lang w:eastAsia="ru-RU"/>
        </w:rPr>
        <w:t>xml</w:t>
      </w:r>
      <w:proofErr w:type="spellEnd"/>
      <w:r w:rsidRPr="00670C97">
        <w:rPr>
          <w:rFonts w:ascii="Arial" w:eastAsia="Times New Roman" w:hAnsi="Arial" w:cs="Arial"/>
          <w:color w:val="606060"/>
          <w:sz w:val="24"/>
          <w:szCs w:val="24"/>
          <w:lang w:eastAsia="ru-RU"/>
        </w:rPr>
        <w:t>-файла, подписанного усиленной квалифицированной ЭП, с сопроводительным письмом нарочным или заказным почтовым отправлением с уведомлением о вручении с соблюдением мер, исключающих бесконтрольный доступ к документам во время доставки: сопроводительное письмо и машинный носитель помещаются в упаковку, исключающую возможность их повреждения или извлечения информации из них без нарушения целостности упаковки.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Сопроводительное письмо должно содержать следующую информацию об адвокате:</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фамилия, имя, отчество;</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ИНН;</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почтовый адрес;</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номер сообщения;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дата сообщения;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вид сообщения;</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контактный телефон.</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 соответствии с пунктом 4 статьи 7.1 Федерального закона № 115-ФЗ адвокаты не вправе разглашать факт передачи в Росфинмониторинг соответствующей информации.</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При этом согласно пункту 5 статьи 7.1 Федерального закона № 115-ФЗ требование о передаче информации в Федеральную службу по финансовому мониторингу не относится к сведениям, на которые распространяется законодательство Российской Федерации о соблюдении адвокатской тайны.</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Адвокаты при выявлении подозрительных операций вправе руководствоваться критериями и признаками необычных сделок, установленными Приказом № 103.</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lastRenderedPageBreak/>
        <w:t>5.6. Хранить документы и сведения, полученные при исполнении Федерального закона № 115-ФЗ, в срок не менее пяти лет со дня прекращения отношений с клиентом.</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6. Адвокаты в целях выявления среди своих клиентов лиц, в отношении которых имеются сведения об их причастности к экстремистской деятельности или терроризму, получаемые в соответствии с Федеральным законом № 115-ФЗ, обязаны получить доступ к перечню организаций и физических лиц, в отношении которых имеются сведения об их причастности к экстремистской деятельности или терроризму (далее – перечень).</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 соответствии с требованиями Постановления № 804 доступ к вышеуказанному перечню осуществляется только через Личные кабинеты.</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В целях получения доступа к перечню, а также организации работы по представлению в Росфинмониторинг сведений о подозрительных операциях адвокатам необходимо подключится к Личному кабинету.</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Порядок вышеуказанного подключения изложен в </w:t>
      </w:r>
      <w:hyperlink r:id="rId11" w:history="1">
        <w:r w:rsidRPr="00670C97">
          <w:rPr>
            <w:rFonts w:ascii="Arial" w:eastAsia="Times New Roman" w:hAnsi="Arial" w:cs="Arial"/>
            <w:color w:val="9F372B"/>
            <w:sz w:val="24"/>
            <w:szCs w:val="24"/>
            <w:u w:val="single"/>
            <w:lang w:eastAsia="ru-RU"/>
          </w:rPr>
          <w:t xml:space="preserve">Информационном </w:t>
        </w:r>
        <w:proofErr w:type="spellStart"/>
        <w:r w:rsidRPr="00670C97">
          <w:rPr>
            <w:rFonts w:ascii="Arial" w:eastAsia="Times New Roman" w:hAnsi="Arial" w:cs="Arial"/>
            <w:color w:val="9F372B"/>
            <w:sz w:val="24"/>
            <w:szCs w:val="24"/>
            <w:u w:val="single"/>
            <w:lang w:eastAsia="ru-RU"/>
          </w:rPr>
          <w:t>сообщении</w:t>
        </w:r>
      </w:hyperlink>
      <w:r w:rsidRPr="00670C97">
        <w:rPr>
          <w:rFonts w:ascii="Arial" w:eastAsia="Times New Roman" w:hAnsi="Arial" w:cs="Arial"/>
          <w:color w:val="606060"/>
          <w:sz w:val="24"/>
          <w:szCs w:val="24"/>
          <w:lang w:eastAsia="ru-RU"/>
        </w:rPr>
        <w:t>Росфинмониторинга</w:t>
      </w:r>
      <w:proofErr w:type="spellEnd"/>
      <w:r w:rsidRPr="00670C97">
        <w:rPr>
          <w:rFonts w:ascii="Arial" w:eastAsia="Times New Roman" w:hAnsi="Arial" w:cs="Arial"/>
          <w:color w:val="606060"/>
          <w:sz w:val="24"/>
          <w:szCs w:val="24"/>
          <w:lang w:eastAsia="ru-RU"/>
        </w:rPr>
        <w:t xml:space="preserve"> от 25 ноября 2016 г. «О необходимости подключения адвокатов к Личному кабинету на официальном сайте Федеральной службы по финансовому мониторингу».</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Для регистрации в личном кабинете на официальном сайте Росфинмониторинга без использования усиленной квалифицированной ЭП адвокатам, которые готовят или осуществляют от имени или по поручению своего клиента следующие операции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 необходимо:</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заполнить и отправить соответствующую заявку на подключение к личному кабинету на официальном сайте Росфинмониторинга, размещенную по адресу </w:t>
      </w:r>
      <w:hyperlink r:id="rId12" w:history="1">
        <w:r w:rsidRPr="00670C97">
          <w:rPr>
            <w:rFonts w:ascii="Arial" w:eastAsia="Times New Roman" w:hAnsi="Arial" w:cs="Arial"/>
            <w:color w:val="9F372B"/>
            <w:sz w:val="24"/>
            <w:szCs w:val="24"/>
            <w:u w:val="single"/>
            <w:lang w:eastAsia="ru-RU"/>
          </w:rPr>
          <w:t>https://portal.fedsfm.ru</w:t>
        </w:r>
      </w:hyperlink>
      <w:r w:rsidRPr="00670C97">
        <w:rPr>
          <w:rFonts w:ascii="Arial" w:eastAsia="Times New Roman" w:hAnsi="Arial" w:cs="Arial"/>
          <w:color w:val="606060"/>
          <w:sz w:val="24"/>
          <w:szCs w:val="24"/>
          <w:lang w:eastAsia="ru-RU"/>
        </w:rPr>
        <w:t>;</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 направить заявку на подключение к личному кабинету на бумажном носителе, полученную на указанный при заполнении электронной заявки адрес электронной почты, с подписью адвоката и печатью (при наличии) по адресу: 107450, г. Москва, ул. Мясницкая, д. 39, стр. 1.</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К заявке на бумажном носителе необходимо приложить скан-копию документа, подтверждающего статус адвоката.</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Для регистрации в личном кабинете с использованием ЭП необходимо с помощью интерактивной формы, размещенной в разделе «Регистрация с использованием электронной подписи» официального сайта Росфинмониторинга заполнить электронную заявку на регистрацию.</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Электронная заявка на регистрацию подписывается ЭП адвоката.</w:t>
      </w:r>
    </w:p>
    <w:p w:rsidR="00670C97" w:rsidRPr="00670C97" w:rsidRDefault="00670C97" w:rsidP="00670C97">
      <w:pPr>
        <w:spacing w:before="240" w:after="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lastRenderedPageBreak/>
        <w:t>После успешной первичной авторизации в личном кабинете адвокату необходимо изменить пароль доступа к своему личному кабинету.</w:t>
      </w:r>
    </w:p>
    <w:p w:rsidR="00670C97" w:rsidRPr="00670C97" w:rsidRDefault="00670C97" w:rsidP="00670C97">
      <w:pPr>
        <w:spacing w:before="240" w:line="270" w:lineRule="atLeast"/>
        <w:rPr>
          <w:rFonts w:ascii="Arial" w:eastAsia="Times New Roman" w:hAnsi="Arial" w:cs="Arial"/>
          <w:color w:val="606060"/>
          <w:sz w:val="24"/>
          <w:szCs w:val="24"/>
          <w:lang w:eastAsia="ru-RU"/>
        </w:rPr>
      </w:pPr>
      <w:r w:rsidRPr="00670C97">
        <w:rPr>
          <w:rFonts w:ascii="Arial" w:eastAsia="Times New Roman" w:hAnsi="Arial" w:cs="Arial"/>
          <w:color w:val="606060"/>
          <w:sz w:val="24"/>
          <w:szCs w:val="24"/>
          <w:lang w:eastAsia="ru-RU"/>
        </w:rPr>
        <w:t>Адвокаты изучают схемы и типологии легализации (отмывания) преступных доходов и финансированию терроризма, размещенные в открытых источниках информации, а также в Личном кабинете.</w:t>
      </w:r>
    </w:p>
    <w:p w:rsidR="002B2B84" w:rsidRPr="00670C97" w:rsidRDefault="002B2B84" w:rsidP="00670C97"/>
    <w:sectPr w:rsidR="002B2B84" w:rsidRPr="00670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97"/>
    <w:rsid w:val="002B2B84"/>
    <w:rsid w:val="00670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2A732-246C-4B77-92E9-F5EBB5C2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70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0C97"/>
    <w:rPr>
      <w:b/>
      <w:bCs/>
    </w:rPr>
  </w:style>
  <w:style w:type="character" w:styleId="a4">
    <w:name w:val="Hyperlink"/>
    <w:basedOn w:val="a0"/>
    <w:uiPriority w:val="99"/>
    <w:semiHidden/>
    <w:unhideWhenUsed/>
    <w:rsid w:val="00670C97"/>
    <w:rPr>
      <w:color w:val="0000FF"/>
      <w:u w:val="single"/>
    </w:rPr>
  </w:style>
  <w:style w:type="character" w:customStyle="1" w:styleId="10">
    <w:name w:val="Заголовок 1 Знак"/>
    <w:basedOn w:val="a0"/>
    <w:link w:val="1"/>
    <w:uiPriority w:val="9"/>
    <w:rsid w:val="00670C97"/>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670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er">
    <w:name w:val="counter"/>
    <w:basedOn w:val="a0"/>
    <w:rsid w:val="00670C97"/>
  </w:style>
  <w:style w:type="paragraph" w:styleId="z-">
    <w:name w:val="HTML Top of Form"/>
    <w:basedOn w:val="a"/>
    <w:next w:val="a"/>
    <w:link w:val="z-0"/>
    <w:hidden/>
    <w:uiPriority w:val="99"/>
    <w:semiHidden/>
    <w:unhideWhenUsed/>
    <w:rsid w:val="00670C9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70C9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70C9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70C97"/>
    <w:rPr>
      <w:rFonts w:ascii="Arial" w:eastAsia="Times New Roman" w:hAnsi="Arial" w:cs="Arial"/>
      <w:vanish/>
      <w:sz w:val="16"/>
      <w:szCs w:val="16"/>
      <w:lang w:eastAsia="ru-RU"/>
    </w:rPr>
  </w:style>
  <w:style w:type="character" w:customStyle="1" w:styleId="news-date-time">
    <w:name w:val="news-date-time"/>
    <w:basedOn w:val="a0"/>
    <w:rsid w:val="00670C97"/>
  </w:style>
  <w:style w:type="paragraph" w:customStyle="1" w:styleId="contentdefault1">
    <w:name w:val="content_default1"/>
    <w:basedOn w:val="a"/>
    <w:rsid w:val="00670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807">
      <w:bodyDiv w:val="1"/>
      <w:marLeft w:val="0"/>
      <w:marRight w:val="0"/>
      <w:marTop w:val="0"/>
      <w:marBottom w:val="0"/>
      <w:divBdr>
        <w:top w:val="none" w:sz="0" w:space="0" w:color="auto"/>
        <w:left w:val="none" w:sz="0" w:space="0" w:color="auto"/>
        <w:bottom w:val="none" w:sz="0" w:space="0" w:color="auto"/>
        <w:right w:val="none" w:sz="0" w:space="0" w:color="auto"/>
      </w:divBdr>
      <w:divsChild>
        <w:div w:id="104085855">
          <w:marLeft w:val="0"/>
          <w:marRight w:val="0"/>
          <w:marTop w:val="0"/>
          <w:marBottom w:val="30"/>
          <w:divBdr>
            <w:top w:val="none" w:sz="0" w:space="0" w:color="auto"/>
            <w:left w:val="none" w:sz="0" w:space="0" w:color="auto"/>
            <w:bottom w:val="none" w:sz="0" w:space="0" w:color="auto"/>
            <w:right w:val="none" w:sz="0" w:space="0" w:color="auto"/>
          </w:divBdr>
          <w:divsChild>
            <w:div w:id="1577008960">
              <w:marLeft w:val="0"/>
              <w:marRight w:val="0"/>
              <w:marTop w:val="0"/>
              <w:marBottom w:val="0"/>
              <w:divBdr>
                <w:top w:val="none" w:sz="0" w:space="0" w:color="auto"/>
                <w:left w:val="none" w:sz="0" w:space="0" w:color="auto"/>
                <w:bottom w:val="none" w:sz="0" w:space="0" w:color="auto"/>
                <w:right w:val="none" w:sz="0" w:space="0" w:color="auto"/>
              </w:divBdr>
              <w:divsChild>
                <w:div w:id="1583022192">
                  <w:marLeft w:val="0"/>
                  <w:marRight w:val="0"/>
                  <w:marTop w:val="0"/>
                  <w:marBottom w:val="0"/>
                  <w:divBdr>
                    <w:top w:val="none" w:sz="0" w:space="0" w:color="auto"/>
                    <w:left w:val="none" w:sz="0" w:space="0" w:color="auto"/>
                    <w:bottom w:val="none" w:sz="0" w:space="0" w:color="auto"/>
                    <w:right w:val="none" w:sz="0" w:space="0" w:color="auto"/>
                  </w:divBdr>
                  <w:divsChild>
                    <w:div w:id="592084273">
                      <w:marLeft w:val="0"/>
                      <w:marRight w:val="0"/>
                      <w:marTop w:val="0"/>
                      <w:marBottom w:val="0"/>
                      <w:divBdr>
                        <w:top w:val="none" w:sz="0" w:space="0" w:color="auto"/>
                        <w:left w:val="none" w:sz="0" w:space="0" w:color="auto"/>
                        <w:bottom w:val="none" w:sz="0" w:space="0" w:color="auto"/>
                        <w:right w:val="none" w:sz="0" w:space="0" w:color="auto"/>
                      </w:divBdr>
                      <w:divsChild>
                        <w:div w:id="3754467">
                          <w:marLeft w:val="150"/>
                          <w:marRight w:val="0"/>
                          <w:marTop w:val="0"/>
                          <w:marBottom w:val="0"/>
                          <w:divBdr>
                            <w:top w:val="none" w:sz="0" w:space="0" w:color="auto"/>
                            <w:left w:val="none" w:sz="0" w:space="0" w:color="auto"/>
                            <w:bottom w:val="none" w:sz="0" w:space="0" w:color="auto"/>
                            <w:right w:val="none" w:sz="0" w:space="0" w:color="auto"/>
                          </w:divBdr>
                        </w:div>
                        <w:div w:id="724523893">
                          <w:marLeft w:val="150"/>
                          <w:marRight w:val="0"/>
                          <w:marTop w:val="0"/>
                          <w:marBottom w:val="0"/>
                          <w:divBdr>
                            <w:top w:val="none" w:sz="0" w:space="0" w:color="auto"/>
                            <w:left w:val="none" w:sz="0" w:space="0" w:color="auto"/>
                            <w:bottom w:val="none" w:sz="0" w:space="0" w:color="auto"/>
                            <w:right w:val="none" w:sz="0" w:space="0" w:color="auto"/>
                          </w:divBdr>
                        </w:div>
                        <w:div w:id="858007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4534">
              <w:marLeft w:val="0"/>
              <w:marRight w:val="0"/>
              <w:marTop w:val="0"/>
              <w:marBottom w:val="30"/>
              <w:divBdr>
                <w:top w:val="none" w:sz="0" w:space="0" w:color="auto"/>
                <w:left w:val="none" w:sz="0" w:space="0" w:color="auto"/>
                <w:bottom w:val="none" w:sz="0" w:space="0" w:color="auto"/>
                <w:right w:val="none" w:sz="0" w:space="0" w:color="auto"/>
              </w:divBdr>
              <w:divsChild>
                <w:div w:id="232545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92E0DFDFBA79E5521250F990C30EE5E1FF92D3DA3F04F46605A9E727EF9491240C8F2E1B88205WDx9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7B92E0DFDFBA79E5521250F990C30EE5917F12C39A0AD454E39569C7571A65E1509C4F3E1B882W0x5K" TargetMode="External"/><Relationship Id="rId12" Type="http://schemas.openxmlformats.org/officeDocument/2006/relationships/hyperlink" Target="https://portal.fedsf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B92E0DFDFBA79E5521250F990C30EE5E1FF92D3DA3F04F46605A9E727EF9491240C8F2E1B88204WDx8K" TargetMode="External"/><Relationship Id="rId11" Type="http://schemas.openxmlformats.org/officeDocument/2006/relationships/hyperlink" Target="http://fparf.ru/documents/resheniya_pod_ft/42088/" TargetMode="External"/><Relationship Id="rId5" Type="http://schemas.openxmlformats.org/officeDocument/2006/relationships/control" Target="activeX/activeX1.xml"/><Relationship Id="rId10" Type="http://schemas.openxmlformats.org/officeDocument/2006/relationships/hyperlink" Target="consultantplus://offline/ref=24B6C96AD6813BC6BB1988A5437B1895EC38AA08722261BE84D7645EF52AC5H" TargetMode="External"/><Relationship Id="rId4" Type="http://schemas.openxmlformats.org/officeDocument/2006/relationships/image" Target="media/image1.wmf"/><Relationship Id="rId9" Type="http://schemas.openxmlformats.org/officeDocument/2006/relationships/hyperlink" Target="http://www.fedsfm.ru/"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Оберман Ирина Александровна</dc:creator>
  <cp:keywords/>
  <dc:description/>
  <cp:lastModifiedBy>Оберман Ирина Александровна</cp:lastModifiedBy>
  <cp:revision>1</cp:revision>
  <dcterms:created xsi:type="dcterms:W3CDTF">2017-12-18T05:48:00Z</dcterms:created>
  <dcterms:modified xsi:type="dcterms:W3CDTF">2017-12-18T05:49:00Z</dcterms:modified>
</cp:coreProperties>
</file>